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73FB" w14:textId="77777777" w:rsidR="001A3491" w:rsidRPr="00F16582" w:rsidRDefault="001A3491" w:rsidP="001A3491">
      <w:pPr>
        <w:pStyle w:val="2"/>
        <w:spacing w:line="276" w:lineRule="auto"/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pPr>
      <w:bookmarkStart w:id="0" w:name="_Toc58114088"/>
      <w:bookmarkStart w:id="1" w:name="_Toc88947815"/>
      <w:bookmarkStart w:id="2" w:name="_Toc220422077"/>
      <w:bookmarkStart w:id="3" w:name="_Hlk182908316"/>
      <w:r w:rsidRPr="00F16582">
        <w:rPr>
          <w:rFonts w:ascii="Times New Roman" w:eastAsia="標楷體" w:hAnsi="Times New Roman" w:cs="Times New Roman"/>
          <w:b w:val="0"/>
          <w:bCs w:val="0"/>
          <w:sz w:val="28"/>
          <w:szCs w:val="28"/>
          <w:bdr w:val="single" w:sz="4" w:space="0" w:color="auto"/>
          <w:shd w:val="pct15" w:color="auto" w:fill="FFFFFF"/>
        </w:rPr>
        <w:t>撰寫參考格式二</w:t>
      </w:r>
      <w:bookmarkEnd w:id="0"/>
      <w:bookmarkEnd w:id="1"/>
      <w:bookmarkEnd w:id="2"/>
    </w:p>
    <w:p w14:paraId="52591FD3" w14:textId="766FB03B" w:rsidR="001A3491" w:rsidRPr="004806E9" w:rsidRDefault="005E6F7C" w:rsidP="001A3491">
      <w:pPr>
        <w:autoSpaceDE w:val="0"/>
        <w:autoSpaceDN w:val="0"/>
        <w:snapToGrid w:val="0"/>
        <w:spacing w:line="276" w:lineRule="auto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4" w:name="_Hlk161299318"/>
      <w:bookmarkStart w:id="5" w:name="_Hlk222557038"/>
      <w:r>
        <w:rPr>
          <w:rFonts w:ascii="Times New Roman" w:eastAsia="標楷體" w:hAnsi="Times New Roman" w:cs="Times New Roman" w:hint="eastAsia"/>
          <w:b/>
          <w:spacing w:val="-10"/>
          <w:sz w:val="28"/>
          <w:szCs w:val="28"/>
        </w:rPr>
        <w:t>基隆市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115</w:t>
      </w:r>
      <w:proofErr w:type="gramStart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</w:t>
      </w:r>
      <w:proofErr w:type="gramEnd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國民中小學教師教學專業與課程品質計畫</w:t>
      </w:r>
    </w:p>
    <w:bookmarkEnd w:id="5"/>
    <w:p w14:paraId="4026D1F8" w14:textId="77777777" w:rsidR="001A3491" w:rsidRPr="004806E9" w:rsidRDefault="001A3491" w:rsidP="001A3491">
      <w:pPr>
        <w:autoSpaceDE w:val="0"/>
        <w:autoSpaceDN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806E9">
        <w:rPr>
          <w:rFonts w:ascii="Times New Roman" w:eastAsia="標楷體" w:hAnsi="Times New Roman" w:cs="Times New Roman"/>
          <w:b/>
          <w:sz w:val="28"/>
          <w:szCs w:val="28"/>
        </w:rPr>
        <w:t>國教地方團運作計畫</w:t>
      </w:r>
    </w:p>
    <w:p w14:paraId="11E0B8B1" w14:textId="77777777" w:rsidR="001A3491" w:rsidRPr="00FA39D0" w:rsidRDefault="001A3491" w:rsidP="001A3491">
      <w:pPr>
        <w:spacing w:before="240" w:after="24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參、</w:t>
      </w:r>
      <w:proofErr w:type="gramStart"/>
      <w:r w:rsidRPr="00FA39D0">
        <w:rPr>
          <w:rFonts w:ascii="Times New Roman" w:eastAsia="標楷體" w:hAnsi="Times New Roman" w:cs="Times New Roman" w:hint="eastAsia"/>
          <w:b/>
          <w:bCs/>
        </w:rPr>
        <w:t>分團之</w:t>
      </w:r>
      <w:proofErr w:type="gramEnd"/>
      <w:r w:rsidRPr="00FA39D0">
        <w:rPr>
          <w:rFonts w:ascii="Times New Roman" w:eastAsia="標楷體" w:hAnsi="Times New Roman" w:cs="Times New Roman" w:hint="eastAsia"/>
          <w:b/>
          <w:bCs/>
        </w:rPr>
        <w:t>辦理事項檢核表</w:t>
      </w:r>
    </w:p>
    <w:p w14:paraId="751A28DA" w14:textId="77777777" w:rsidR="001A3491" w:rsidRPr="00FA39D0" w:rsidRDefault="001A3491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</w:p>
    <w:p w14:paraId="079E2923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請逐項</w:t>
      </w:r>
      <w:proofErr w:type="gramEnd"/>
      <w:r w:rsidRPr="00FA39D0">
        <w:rPr>
          <w:rFonts w:eastAsia="標楷體" w:hint="eastAsia"/>
        </w:rPr>
        <w:t>檢核下列事項規劃情形，並填列預計辦理研習、工作坊等活動之總場次、總人數（免附計畫書），請參見範例</w:t>
      </w:r>
      <w:proofErr w:type="gramStart"/>
      <w:r w:rsidRPr="00FA39D0">
        <w:rPr>
          <w:rFonts w:eastAsia="標楷體" w:hint="eastAsia"/>
        </w:rPr>
        <w:t>一</w:t>
      </w:r>
      <w:proofErr w:type="gramEnd"/>
      <w:r w:rsidRPr="00FA39D0">
        <w:rPr>
          <w:rFonts w:eastAsia="標楷體" w:hint="eastAsia"/>
        </w:rPr>
        <w:t>。</w:t>
      </w:r>
    </w:p>
    <w:p w14:paraId="599CD398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倘為整</w:t>
      </w:r>
      <w:proofErr w:type="gramEnd"/>
      <w:r w:rsidRPr="00FA39D0">
        <w:rPr>
          <w:rFonts w:eastAsia="標楷體" w:hint="eastAsia"/>
        </w:rPr>
        <w:t>體性引導機制，無法以量化數值表示預計辦理總場次及總人數，只需勾選「檢核」欄位，請參見範例二。</w:t>
      </w:r>
    </w:p>
    <w:p w14:paraId="706E4AAD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如不同項次，所辦理活動相同，避免重複計算，請參見範例</w:t>
      </w:r>
      <w:proofErr w:type="gramStart"/>
      <w:r w:rsidRPr="00FA39D0">
        <w:rPr>
          <w:rFonts w:eastAsia="標楷體" w:hint="eastAsia"/>
        </w:rPr>
        <w:t>三</w:t>
      </w:r>
      <w:proofErr w:type="gramEnd"/>
      <w:r w:rsidRPr="00FA39D0">
        <w:rPr>
          <w:rFonts w:eastAsia="標楷體" w:hint="eastAsia"/>
        </w:rPr>
        <w:t>。</w:t>
      </w:r>
    </w:p>
    <w:p w14:paraId="2D8E761F" w14:textId="77777777" w:rsid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各分團</w:t>
      </w:r>
      <w:r w:rsidRPr="00FA39D0">
        <w:rPr>
          <w:rFonts w:eastAsia="標楷體"/>
        </w:rPr>
        <w:t>應與央團透過</w:t>
      </w:r>
      <w:proofErr w:type="gramEnd"/>
      <w:r w:rsidRPr="00FA39D0">
        <w:rPr>
          <w:rFonts w:eastAsia="標楷體"/>
        </w:rPr>
        <w:t>對話機制，</w:t>
      </w:r>
      <w:r w:rsidRPr="00FA39D0">
        <w:rPr>
          <w:rFonts w:eastAsia="標楷體" w:hint="eastAsia"/>
        </w:rPr>
        <w:t>請填</w:t>
      </w:r>
      <w:proofErr w:type="gramStart"/>
      <w:r w:rsidRPr="00FA39D0">
        <w:rPr>
          <w:rFonts w:eastAsia="標楷體" w:hint="eastAsia"/>
        </w:rPr>
        <w:t>列</w:t>
      </w:r>
      <w:r w:rsidRPr="00FA39D0">
        <w:rPr>
          <w:rFonts w:eastAsia="標楷體"/>
        </w:rPr>
        <w:t>央團檢核</w:t>
      </w:r>
      <w:proofErr w:type="gramEnd"/>
      <w:r w:rsidRPr="00FA39D0">
        <w:rPr>
          <w:rFonts w:eastAsia="標楷體" w:hint="eastAsia"/>
        </w:rPr>
        <w:t>日期</w:t>
      </w:r>
      <w:r w:rsidRPr="00FA39D0">
        <w:rPr>
          <w:rFonts w:eastAsia="標楷體"/>
        </w:rPr>
        <w:t>後，交由縣市</w:t>
      </w:r>
      <w:proofErr w:type="gramStart"/>
      <w:r w:rsidRPr="00FA39D0">
        <w:rPr>
          <w:rFonts w:eastAsia="標楷體"/>
        </w:rPr>
        <w:t>承辦人彙整</w:t>
      </w:r>
      <w:proofErr w:type="gramEnd"/>
      <w:r w:rsidRPr="00FA39D0">
        <w:rPr>
          <w:rFonts w:eastAsia="標楷體" w:hint="eastAsia"/>
        </w:rPr>
        <w:t>。</w:t>
      </w:r>
    </w:p>
    <w:p w14:paraId="02D19C0E" w14:textId="7B3C4A20" w:rsidR="003373D3" w:rsidRP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 w:hint="eastAsia"/>
        </w:rPr>
      </w:pPr>
      <w:r w:rsidRPr="003373D3">
        <w:rPr>
          <w:rFonts w:eastAsia="標楷體" w:hint="eastAsia"/>
        </w:rPr>
        <w:t>本表將作為期中與期末成果簡報製作之依據。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2694"/>
        <w:gridCol w:w="425"/>
        <w:gridCol w:w="567"/>
        <w:gridCol w:w="1276"/>
        <w:gridCol w:w="1276"/>
      </w:tblGrid>
      <w:tr w:rsidR="001A3491" w:rsidRPr="001A065B" w14:paraId="22D924D2" w14:textId="77777777" w:rsidTr="00280FA8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6F32D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proofErr w:type="gramStart"/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  <w:proofErr w:type="gramEnd"/>
          </w:p>
        </w:tc>
        <w:tc>
          <w:tcPr>
            <w:tcW w:w="7796" w:type="dxa"/>
            <w:gridSpan w:val="6"/>
            <w:vAlign w:val="center"/>
          </w:tcPr>
          <w:p w14:paraId="10FF07C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</w:tr>
      <w:tr w:rsidR="001A3491" w:rsidRPr="001A065B" w14:paraId="1E8F2701" w14:textId="77777777" w:rsidTr="00280FA8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F665E7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439ED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E31E8EF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BC20D90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1A3491" w:rsidRPr="001A065B" w14:paraId="70035AF2" w14:textId="77777777" w:rsidTr="00280FA8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4D8151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gridSpan w:val="2"/>
            <w:vMerge/>
            <w:shd w:val="clear" w:color="auto" w:fill="D9D9D9" w:themeFill="background1" w:themeFillShade="D9"/>
            <w:vAlign w:val="center"/>
          </w:tcPr>
          <w:p w14:paraId="20AE41B7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  <w:vAlign w:val="center"/>
          </w:tcPr>
          <w:p w14:paraId="581BD70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1527A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9FBC3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1A3491" w:rsidRPr="001A065B" w14:paraId="548CDD1E" w14:textId="77777777" w:rsidTr="00280FA8">
        <w:trPr>
          <w:trHeight w:val="415"/>
        </w:trPr>
        <w:tc>
          <w:tcPr>
            <w:tcW w:w="1560" w:type="dxa"/>
            <w:vAlign w:val="center"/>
          </w:tcPr>
          <w:p w14:paraId="4BC4EA21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  <w:gridSpan w:val="2"/>
          </w:tcPr>
          <w:p w14:paraId="5C56C356" w14:textId="77777777" w:rsidR="001A3491" w:rsidRPr="001A065B" w:rsidRDefault="001A3491" w:rsidP="001A3491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研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擬、執行與檢核推動計畫。</w:t>
            </w:r>
          </w:p>
        </w:tc>
        <w:tc>
          <w:tcPr>
            <w:tcW w:w="992" w:type="dxa"/>
            <w:gridSpan w:val="2"/>
            <w:vAlign w:val="center"/>
          </w:tcPr>
          <w:p w14:paraId="0790A1CC" w14:textId="77777777" w:rsidR="001A3491" w:rsidRPr="001A065B" w:rsidRDefault="001A3491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9BC3A2" w14:textId="77777777" w:rsidR="001A3491" w:rsidRPr="001A065B" w:rsidRDefault="001A3491" w:rsidP="00280F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CAD045B" w14:textId="77777777" w:rsidR="001A3491" w:rsidRPr="001A065B" w:rsidRDefault="001A3491" w:rsidP="00280F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A3491" w:rsidRPr="001A065B" w14:paraId="28AC9693" w14:textId="77777777" w:rsidTr="00280FA8">
        <w:trPr>
          <w:trHeight w:val="415"/>
        </w:trPr>
        <w:tc>
          <w:tcPr>
            <w:tcW w:w="1560" w:type="dxa"/>
            <w:vMerge w:val="restart"/>
            <w:vAlign w:val="center"/>
          </w:tcPr>
          <w:p w14:paraId="3B0B9B5F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  <w:gridSpan w:val="2"/>
          </w:tcPr>
          <w:p w14:paraId="47544C53" w14:textId="77777777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各分團之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gridSpan w:val="2"/>
            <w:vAlign w:val="center"/>
          </w:tcPr>
          <w:p w14:paraId="0800EA91" w14:textId="77777777" w:rsidR="001A3491" w:rsidRPr="001A065B" w:rsidRDefault="001A3491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範例</w:t>
            </w:r>
            <w:proofErr w:type="gramStart"/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一</w:t>
            </w:r>
            <w:proofErr w:type="gramEnd"/>
          </w:p>
          <w:p w14:paraId="26336B0F" w14:textId="77777777" w:rsidR="001A3491" w:rsidRPr="001A065B" w:rsidRDefault="001A3491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1D9EE2A3" w14:textId="77777777" w:rsidR="001A3491" w:rsidRPr="001A065B" w:rsidRDefault="001A3491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736945ED" w14:textId="77777777" w:rsidR="001A3491" w:rsidRPr="001A065B" w:rsidRDefault="001A3491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450</w:t>
            </w:r>
          </w:p>
        </w:tc>
      </w:tr>
      <w:tr w:rsidR="001A3491" w:rsidRPr="001A065B" w14:paraId="5D6D377D" w14:textId="77777777" w:rsidTr="00280FA8">
        <w:trPr>
          <w:trHeight w:val="1243"/>
        </w:trPr>
        <w:tc>
          <w:tcPr>
            <w:tcW w:w="1560" w:type="dxa"/>
            <w:vMerge/>
            <w:vAlign w:val="center"/>
          </w:tcPr>
          <w:p w14:paraId="00195A73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14:paraId="67AFA778" w14:textId="2A46F27F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(如</w:t>
            </w:r>
            <w:proofErr w:type="gramStart"/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分團未辦理免填此</w:t>
            </w:r>
            <w:proofErr w:type="gramEnd"/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項目)</w:t>
            </w:r>
          </w:p>
        </w:tc>
        <w:tc>
          <w:tcPr>
            <w:tcW w:w="992" w:type="dxa"/>
            <w:gridSpan w:val="2"/>
            <w:vAlign w:val="center"/>
          </w:tcPr>
          <w:p w14:paraId="58B8A18D" w14:textId="77777777" w:rsidR="001A3491" w:rsidRPr="001A065B" w:rsidRDefault="001A3491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1A8879" w14:textId="77777777" w:rsidR="001A3491" w:rsidRPr="001A065B" w:rsidRDefault="001A3491" w:rsidP="00280FA8">
            <w:pPr>
              <w:spacing w:line="276" w:lineRule="auto"/>
              <w:jc w:val="both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2532A" w14:textId="77777777" w:rsidR="001A3491" w:rsidRPr="001A065B" w:rsidRDefault="001A3491" w:rsidP="00280FA8">
            <w:pPr>
              <w:spacing w:line="276" w:lineRule="auto"/>
              <w:jc w:val="both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</w:p>
        </w:tc>
      </w:tr>
      <w:tr w:rsidR="001A3491" w:rsidRPr="001A065B" w14:paraId="2A0C60C1" w14:textId="77777777" w:rsidTr="00280FA8">
        <w:trPr>
          <w:trHeight w:val="96"/>
        </w:trPr>
        <w:tc>
          <w:tcPr>
            <w:tcW w:w="1560" w:type="dxa"/>
            <w:vMerge w:val="restart"/>
            <w:vAlign w:val="center"/>
          </w:tcPr>
          <w:p w14:paraId="41F6B052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</w:t>
            </w:r>
            <w:r w:rsidRPr="001A065B">
              <w:rPr>
                <w:rFonts w:ascii="標楷體" w:eastAsia="標楷體" w:hAnsi="標楷體"/>
                <w:sz w:val="24"/>
              </w:rPr>
              <w:lastRenderedPageBreak/>
              <w:t>習</w:t>
            </w:r>
          </w:p>
        </w:tc>
        <w:tc>
          <w:tcPr>
            <w:tcW w:w="4252" w:type="dxa"/>
            <w:gridSpan w:val="2"/>
          </w:tcPr>
          <w:p w14:paraId="2FD70192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lastRenderedPageBreak/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gridSpan w:val="2"/>
            <w:vAlign w:val="center"/>
          </w:tcPr>
          <w:p w14:paraId="66641853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範例</w:t>
            </w:r>
            <w:proofErr w:type="gramStart"/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三</w:t>
            </w:r>
            <w:proofErr w:type="gramEnd"/>
          </w:p>
          <w:p w14:paraId="290623A3" w14:textId="77777777" w:rsidR="001A3491" w:rsidRPr="001A065B" w:rsidRDefault="001A3491" w:rsidP="00280FA8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proofErr w:type="gramStart"/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6B91E4E0" w14:textId="77777777" w:rsidR="001A3491" w:rsidRPr="001A065B" w:rsidRDefault="001A3491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r w:rsidRPr="001A065B">
              <w:rPr>
                <w:rFonts w:ascii="標楷體" w:eastAsia="標楷體" w:hAnsi="標楷體"/>
                <w:color w:val="808080" w:themeColor="background1" w:themeShade="80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57065C36" w14:textId="77777777" w:rsidR="001A3491" w:rsidRPr="001A065B" w:rsidRDefault="001A3491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</w:rPr>
              <w:t>300</w:t>
            </w:r>
          </w:p>
        </w:tc>
      </w:tr>
      <w:tr w:rsidR="001A3491" w:rsidRPr="001A065B" w14:paraId="7C026B5C" w14:textId="77777777" w:rsidTr="00280FA8">
        <w:trPr>
          <w:trHeight w:val="96"/>
        </w:trPr>
        <w:tc>
          <w:tcPr>
            <w:tcW w:w="1560" w:type="dxa"/>
            <w:vMerge/>
            <w:vAlign w:val="center"/>
          </w:tcPr>
          <w:p w14:paraId="37E89D7C" w14:textId="77777777" w:rsidR="001A3491" w:rsidRPr="001A065B" w:rsidRDefault="001A3491" w:rsidP="00280FA8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1EE81EC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</w:t>
            </w:r>
            <w:r w:rsidRPr="001A065B">
              <w:rPr>
                <w:rFonts w:ascii="標楷體" w:eastAsia="標楷體" w:hAnsi="標楷體" w:hint="eastAsia"/>
                <w:sz w:val="24"/>
              </w:rPr>
              <w:lastRenderedPageBreak/>
              <w:t>良示例。</w:t>
            </w:r>
          </w:p>
        </w:tc>
        <w:tc>
          <w:tcPr>
            <w:tcW w:w="992" w:type="dxa"/>
            <w:gridSpan w:val="2"/>
            <w:vAlign w:val="center"/>
          </w:tcPr>
          <w:p w14:paraId="65FB3FCE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lastRenderedPageBreak/>
              <w:t>範例</w:t>
            </w:r>
            <w:proofErr w:type="gramStart"/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三</w:t>
            </w:r>
            <w:proofErr w:type="gramEnd"/>
          </w:p>
          <w:p w14:paraId="72CBB273" w14:textId="77777777" w:rsidR="001A3491" w:rsidRPr="001A065B" w:rsidRDefault="001A3491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</w:rPr>
              <w:t>V</w:t>
            </w:r>
          </w:p>
        </w:tc>
        <w:tc>
          <w:tcPr>
            <w:tcW w:w="1276" w:type="dxa"/>
            <w:vAlign w:val="center"/>
          </w:tcPr>
          <w:p w14:paraId="0B89E635" w14:textId="77777777" w:rsidR="001A3491" w:rsidRPr="001A065B" w:rsidRDefault="001A3491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both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</w:rPr>
              <w:t>同三(</w:t>
            </w:r>
            <w:proofErr w:type="gramStart"/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</w:rPr>
              <w:t>一</w:t>
            </w:r>
            <w:proofErr w:type="gramEnd"/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4513F9E" w14:textId="77777777" w:rsidR="001A3491" w:rsidRPr="001A065B" w:rsidRDefault="001A3491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both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</w:rPr>
              <w:t>同三(</w:t>
            </w:r>
            <w:proofErr w:type="gramStart"/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</w:rPr>
              <w:t>一</w:t>
            </w:r>
            <w:proofErr w:type="gramEnd"/>
            <w:r w:rsidRPr="001A065B">
              <w:rPr>
                <w:rFonts w:ascii="標楷體" w:eastAsia="標楷體" w:hAnsi="標楷體" w:hint="eastAsia"/>
                <w:color w:val="808080" w:themeColor="background1" w:themeShade="80"/>
                <w:sz w:val="24"/>
              </w:rPr>
              <w:t>)</w:t>
            </w:r>
          </w:p>
        </w:tc>
      </w:tr>
      <w:tr w:rsidR="001A3491" w:rsidRPr="003373D3" w14:paraId="66CC3434" w14:textId="77777777" w:rsidTr="00280FA8">
        <w:trPr>
          <w:trHeight w:val="96"/>
        </w:trPr>
        <w:tc>
          <w:tcPr>
            <w:tcW w:w="9356" w:type="dxa"/>
            <w:gridSpan w:val="7"/>
            <w:vAlign w:val="center"/>
          </w:tcPr>
          <w:p w14:paraId="3EE17F15" w14:textId="0E1FD608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央團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檢核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 xml:space="preserve">   月 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 xml:space="preserve">  日</w:t>
            </w:r>
          </w:p>
          <w:p w14:paraId="6833E2CF" w14:textId="16539680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央團檢核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人員：</w:t>
            </w:r>
          </w:p>
          <w:p w14:paraId="5BEA3032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57A3E691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14:paraId="03DD95E5" w14:textId="208037E0" w:rsidR="001A3491" w:rsidRPr="001A065B" w:rsidRDefault="001A3491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>（請於115年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日前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檢核總表及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計畫提供央團審查，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並於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115年4月30日前上傳至基隆國教輔導團-精進計畫專區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  <w:tr w:rsidR="003373D3" w:rsidRPr="003373D3" w14:paraId="09450885" w14:textId="77777777" w:rsidTr="00EB0CE4">
        <w:trPr>
          <w:trHeight w:val="96"/>
        </w:trPr>
        <w:tc>
          <w:tcPr>
            <w:tcW w:w="3118" w:type="dxa"/>
            <w:gridSpan w:val="2"/>
            <w:vAlign w:val="center"/>
          </w:tcPr>
          <w:p w14:paraId="629A893B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承辦人</w:t>
            </w:r>
          </w:p>
          <w:p w14:paraId="4C998C94" w14:textId="7C8A598E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2"/>
            <w:vAlign w:val="center"/>
          </w:tcPr>
          <w:p w14:paraId="202FED57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相關承辦單位主管</w:t>
            </w:r>
          </w:p>
          <w:p w14:paraId="39B2EC5F" w14:textId="2C2E0534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3"/>
            <w:vAlign w:val="center"/>
          </w:tcPr>
          <w:p w14:paraId="6F66FB8E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基隆市教育</w:t>
            </w:r>
            <w:proofErr w:type="gramStart"/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處</w:t>
            </w:r>
            <w:proofErr w:type="gramEnd"/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處長</w:t>
            </w:r>
          </w:p>
          <w:p w14:paraId="176498C2" w14:textId="1E2C7FC2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</w:tr>
      <w:tr w:rsidR="003373D3" w:rsidRPr="003373D3" w14:paraId="3BD00654" w14:textId="77777777" w:rsidTr="003373D3">
        <w:trPr>
          <w:trHeight w:val="1049"/>
        </w:trPr>
        <w:tc>
          <w:tcPr>
            <w:tcW w:w="3118" w:type="dxa"/>
            <w:gridSpan w:val="2"/>
            <w:vAlign w:val="center"/>
          </w:tcPr>
          <w:p w14:paraId="0555EB7E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C37F36D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9826E59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bookmarkEnd w:id="3"/>
      <w:bookmarkEnd w:id="4"/>
    </w:tbl>
    <w:p w14:paraId="250AE67A" w14:textId="77777777" w:rsidR="00556149" w:rsidRPr="001A3491" w:rsidRDefault="00556149"/>
    <w:sectPr w:rsidR="00556149" w:rsidRPr="001A3491" w:rsidSect="00625295">
      <w:pgSz w:w="11906" w:h="16838"/>
      <w:pgMar w:top="1077" w:right="1134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8ACD" w14:textId="77777777" w:rsidR="00AC26CC" w:rsidRDefault="00AC26CC" w:rsidP="00625295">
      <w:r>
        <w:separator/>
      </w:r>
    </w:p>
  </w:endnote>
  <w:endnote w:type="continuationSeparator" w:id="0">
    <w:p w14:paraId="52249005" w14:textId="77777777" w:rsidR="00AC26CC" w:rsidRDefault="00AC26CC" w:rsidP="006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10A5" w14:textId="77777777" w:rsidR="00AC26CC" w:rsidRDefault="00AC26CC" w:rsidP="00625295">
      <w:r>
        <w:separator/>
      </w:r>
    </w:p>
  </w:footnote>
  <w:footnote w:type="continuationSeparator" w:id="0">
    <w:p w14:paraId="5B95C24E" w14:textId="77777777" w:rsidR="00AC26CC" w:rsidRDefault="00AC26CC" w:rsidP="006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98F"/>
    <w:multiLevelType w:val="hybridMultilevel"/>
    <w:tmpl w:val="0A9E9D54"/>
    <w:lvl w:ilvl="0" w:tplc="576E6C5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07145"/>
    <w:multiLevelType w:val="hybridMultilevel"/>
    <w:tmpl w:val="D6D2D596"/>
    <w:lvl w:ilvl="0" w:tplc="BF50FA4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4371A"/>
    <w:multiLevelType w:val="hybridMultilevel"/>
    <w:tmpl w:val="68760B80"/>
    <w:lvl w:ilvl="0" w:tplc="8C1ED6A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4059C4"/>
    <w:multiLevelType w:val="hybridMultilevel"/>
    <w:tmpl w:val="0F00CCBA"/>
    <w:lvl w:ilvl="0" w:tplc="B9C68B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E5DF3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4118A7"/>
    <w:multiLevelType w:val="hybridMultilevel"/>
    <w:tmpl w:val="A3A45324"/>
    <w:lvl w:ilvl="0" w:tplc="2204757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A7B54"/>
    <w:multiLevelType w:val="hybridMultilevel"/>
    <w:tmpl w:val="3DFEAD7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505D4953"/>
    <w:multiLevelType w:val="hybridMultilevel"/>
    <w:tmpl w:val="9B1CE664"/>
    <w:lvl w:ilvl="0" w:tplc="1E564D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AE7D8F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1C702C"/>
    <w:multiLevelType w:val="hybridMultilevel"/>
    <w:tmpl w:val="E0FE2734"/>
    <w:lvl w:ilvl="0" w:tplc="3A62149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9429E"/>
    <w:multiLevelType w:val="hybridMultilevel"/>
    <w:tmpl w:val="A2C28C6E"/>
    <w:lvl w:ilvl="0" w:tplc="CF544370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6EB61783"/>
    <w:multiLevelType w:val="hybridMultilevel"/>
    <w:tmpl w:val="ED5A2BDA"/>
    <w:lvl w:ilvl="0" w:tplc="CFC65E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871632"/>
    <w:multiLevelType w:val="hybridMultilevel"/>
    <w:tmpl w:val="73BA4B8E"/>
    <w:lvl w:ilvl="0" w:tplc="FAAE7E6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04289454">
    <w:abstractNumId w:val="11"/>
  </w:num>
  <w:num w:numId="2" w16cid:durableId="237136082">
    <w:abstractNumId w:val="1"/>
  </w:num>
  <w:num w:numId="3" w16cid:durableId="51581644">
    <w:abstractNumId w:val="0"/>
  </w:num>
  <w:num w:numId="4" w16cid:durableId="1934168397">
    <w:abstractNumId w:val="4"/>
  </w:num>
  <w:num w:numId="5" w16cid:durableId="2078821872">
    <w:abstractNumId w:val="5"/>
  </w:num>
  <w:num w:numId="6" w16cid:durableId="1747150601">
    <w:abstractNumId w:val="6"/>
  </w:num>
  <w:num w:numId="7" w16cid:durableId="1810971226">
    <w:abstractNumId w:val="12"/>
  </w:num>
  <w:num w:numId="8" w16cid:durableId="307711808">
    <w:abstractNumId w:val="10"/>
  </w:num>
  <w:num w:numId="9" w16cid:durableId="570232400">
    <w:abstractNumId w:val="8"/>
  </w:num>
  <w:num w:numId="10" w16cid:durableId="1526213809">
    <w:abstractNumId w:val="2"/>
  </w:num>
  <w:num w:numId="11" w16cid:durableId="1298340563">
    <w:abstractNumId w:val="3"/>
  </w:num>
  <w:num w:numId="12" w16cid:durableId="1581865846">
    <w:abstractNumId w:val="7"/>
  </w:num>
  <w:num w:numId="13" w16cid:durableId="128593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27"/>
    <w:rsid w:val="00067534"/>
    <w:rsid w:val="001A3491"/>
    <w:rsid w:val="002065B5"/>
    <w:rsid w:val="003373D3"/>
    <w:rsid w:val="00384B27"/>
    <w:rsid w:val="00556149"/>
    <w:rsid w:val="005E6F7C"/>
    <w:rsid w:val="00625295"/>
    <w:rsid w:val="00667B84"/>
    <w:rsid w:val="00824EC6"/>
    <w:rsid w:val="00A43981"/>
    <w:rsid w:val="00AC26CC"/>
    <w:rsid w:val="00F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7B883"/>
  <w15:chartTrackingRefBased/>
  <w15:docId w15:val="{67905A5E-42B0-40EB-AAEC-2BCC105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9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252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2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29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252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62529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625295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qFormat/>
    <w:rsid w:val="006252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5295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uiPriority w:val="99"/>
    <w:rsid w:val="0062529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陳韋志</cp:lastModifiedBy>
  <cp:revision>2</cp:revision>
  <dcterms:created xsi:type="dcterms:W3CDTF">2026-02-21T01:40:00Z</dcterms:created>
  <dcterms:modified xsi:type="dcterms:W3CDTF">2026-02-21T01:40:00Z</dcterms:modified>
</cp:coreProperties>
</file>